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630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Копия документа об образовании Равно "Нет" И</w:t>
              <w:br/>
              <w:t>
Ссылка.Документы возвращены Равно "Нет" И</w:t>
              <w:br/>
              <w:t>
Ссылка.Дата.Даты конца.Конец дня Меньше "26.06.2020" И</w:t>
              <w:br/>
              <w:t>
Приемная кампания Равно "2020"</w:t>
            </w:r>
          </w:p>
        </w:tc>
      </w:tr>
      <w:tr>
        <w:trPr>
          <w:trHeight w:val="200" w:hRule="atLeast"/>
        </w:trPr>
        <w:tc>
          <w:tcPr>
            <w:tcW w:w="855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525"/>
        <w:gridCol w:w="1575"/>
        <w:gridCol w:w="1050"/>
        <w:gridCol w:w="1050"/>
        <w:gridCol w:w="1050"/>
        <w:gridCol w:w="1050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25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Ссылка.Дополнительные заявления.Номер строки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Ссылка.Дополнительные заявления.Специальность</w:t>
            </w:r>
          </w:p>
        </w:tc>
        <w:tc>
          <w:tcPr>
            <w:tcW w:w="10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3.989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4.262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4.133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4.128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4.182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4.185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9253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4.190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